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tblpY="85"/>
        <w:tblW w:w="10080" w:type="dxa"/>
        <w:tblLook w:val="04A0"/>
      </w:tblPr>
      <w:tblGrid>
        <w:gridCol w:w="3716"/>
        <w:gridCol w:w="1184"/>
        <w:gridCol w:w="801"/>
        <w:gridCol w:w="1329"/>
        <w:gridCol w:w="904"/>
        <w:gridCol w:w="1250"/>
        <w:gridCol w:w="896"/>
      </w:tblGrid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b/>
                <w:bCs/>
                <w:color w:val="231F20"/>
                <w:sz w:val="24"/>
                <w:szCs w:val="24"/>
                <w:u w:val="single"/>
              </w:rPr>
              <w:t>Fiscal Year Ended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</w:rPr>
              <w:t>Sept 29,</w:t>
            </w:r>
          </w:p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% base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</w:rPr>
              <w:t>Sept 30,</w:t>
            </w:r>
          </w:p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% change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</w:rPr>
              <w:t>Oct 1,</w:t>
            </w:r>
          </w:p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% change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Net revenues: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Company-operated stores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$ 17,650.70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$ 19,690.30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11.55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$ 21,544.40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22.06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Licensed stores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2,355.0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2,652.2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-1.05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2,875.0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8.29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Other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2,381.1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2,377.0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-0.17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2,089.2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-12.26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>Total net revenues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>22,386.8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>24,719.5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10.42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>26,508.6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18.41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Cost of sales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7,065.8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7,930.7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12.25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8,526.9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20.68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Store operating expenses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8,486.4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9,472.2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11.62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10,493.6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23.65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Other operating expenses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518.0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554.9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7.12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371.0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-28.37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Depreciation and amortization expenses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1,011.4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1,247.0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23.29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1,377.3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36.18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General and administrative expenses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1,408.4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1,708.2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21.29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1,824.1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29.52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Restructuring and impairments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153.5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224.4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46.19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135.8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-11.53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>Total operating expenses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>18,643.5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>21,137.4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13.38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>22,728.7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21.91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Income from equity investees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391.4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301.2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-23.05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298.0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-23.86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Operating income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4,134.7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3,883.3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-6.08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4,077.9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-1.37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Gain resulting from acquisition of joint venture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1,376.4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51" w:type="dxa"/>
          </w:tcPr>
          <w:p w:rsidR="00A5229F" w:rsidRPr="00A5229F" w:rsidRDefault="00A5229F" w:rsidP="00A5229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Net gain resulting from divestiture of certain operations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93.5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499.2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433.9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622.8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566.1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Interest income and other, net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181.8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191.4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5.28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96.5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-46.92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Interest expense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(92.5)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(170.3)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84.12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(331.0)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257.8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Earnings before income taxes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4,317.5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5,780.0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33.87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4,466.2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3.44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Income tax expense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1,432.6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1,262.0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-11.91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871.6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-39.16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Net earnings including non-controlling interests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2,884.9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4,518.0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56.61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3,594.6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24.60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Net earnings/(loss) attributable to non-controlling interests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0.2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(0.3)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(4.6)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>Net earnings attributable to Starbucks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>$ 2,884.70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>$ 4,518.30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56.63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>$ 3,599.20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24.77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Earnings per share — basic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$ 1.99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$ 3.27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64.32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$ 2.95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48.24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Earnings per share — diluted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$ 1.97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$ 3.24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64.46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$ 2.92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48.22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Weighted average shares outstanding: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Basic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1,449.5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1,382.7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-4.61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1,221.2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-15.75</w:t>
            </w:r>
          </w:p>
        </w:tc>
      </w:tr>
      <w:tr w:rsidR="00A5229F" w:rsidRPr="00A5229F" w:rsidTr="00A5229F">
        <w:tc>
          <w:tcPr>
            <w:tcW w:w="3746" w:type="dxa"/>
          </w:tcPr>
          <w:p w:rsidR="00A5229F" w:rsidRPr="00A5229F" w:rsidRDefault="00A5229F" w:rsidP="00A5229F">
            <w:pP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Diluted</w:t>
            </w:r>
          </w:p>
        </w:tc>
        <w:tc>
          <w:tcPr>
            <w:tcW w:w="118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1,461.5</w:t>
            </w:r>
          </w:p>
        </w:tc>
        <w:tc>
          <w:tcPr>
            <w:tcW w:w="8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332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1,394.6</w:t>
            </w:r>
          </w:p>
        </w:tc>
        <w:tc>
          <w:tcPr>
            <w:tcW w:w="904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-4.58</w:t>
            </w:r>
          </w:p>
        </w:tc>
        <w:tc>
          <w:tcPr>
            <w:tcW w:w="1251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29F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1,233.2</w:t>
            </w:r>
          </w:p>
        </w:tc>
        <w:tc>
          <w:tcPr>
            <w:tcW w:w="859" w:type="dxa"/>
          </w:tcPr>
          <w:p w:rsidR="00A5229F" w:rsidRPr="00A5229F" w:rsidRDefault="00A5229F" w:rsidP="00A5229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229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-15.62</w:t>
            </w:r>
          </w:p>
        </w:tc>
      </w:tr>
    </w:tbl>
    <w:p w:rsidR="00167080" w:rsidRPr="00A5229F" w:rsidRDefault="00167080" w:rsidP="00234669">
      <w:pPr>
        <w:rPr>
          <w:rFonts w:ascii="Times New Roman" w:hAnsi="Times New Roman" w:cs="Times New Roman"/>
          <w:sz w:val="24"/>
          <w:szCs w:val="24"/>
        </w:rPr>
      </w:pPr>
      <w:r w:rsidRPr="00A5229F">
        <w:rPr>
          <w:rFonts w:ascii="Times New Roman" w:hAnsi="Times New Roman" w:cs="Times New Roman"/>
          <w:sz w:val="24"/>
          <w:szCs w:val="24"/>
        </w:rPr>
        <w:lastRenderedPageBreak/>
        <w:t xml:space="preserve">With respect to base year 2017: </w:t>
      </w:r>
    </w:p>
    <w:p w:rsidR="00234669" w:rsidRPr="00A5229F" w:rsidRDefault="00167080" w:rsidP="001670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5229F">
        <w:rPr>
          <w:rFonts w:ascii="Times New Roman" w:hAnsi="Times New Roman" w:cs="Times New Roman"/>
          <w:sz w:val="24"/>
          <w:szCs w:val="24"/>
        </w:rPr>
        <w:t>The total net revenues increased by 10.42% in the year 2018 and further increased by 18.41% in 2019</w:t>
      </w:r>
    </w:p>
    <w:p w:rsidR="00167080" w:rsidRPr="00A5229F" w:rsidRDefault="00167080" w:rsidP="001670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5229F">
        <w:rPr>
          <w:rFonts w:ascii="Times New Roman" w:hAnsi="Times New Roman" w:cs="Times New Roman"/>
          <w:sz w:val="24"/>
          <w:szCs w:val="24"/>
        </w:rPr>
        <w:t>The total operating expenses increased by 13.38% in 2018 and further increased by 21.91% in 2019</w:t>
      </w:r>
    </w:p>
    <w:p w:rsidR="00167080" w:rsidRPr="00A5229F" w:rsidRDefault="00167080" w:rsidP="0016708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5229F">
        <w:rPr>
          <w:rFonts w:ascii="Times New Roman" w:hAnsi="Times New Roman" w:cs="Times New Roman"/>
          <w:sz w:val="24"/>
          <w:szCs w:val="24"/>
        </w:rPr>
        <w:t xml:space="preserve">The company realized a net profit increase of </w:t>
      </w:r>
      <w:r w:rsidR="00BC7608" w:rsidRPr="00A5229F">
        <w:rPr>
          <w:rFonts w:ascii="Times New Roman" w:hAnsi="Times New Roman" w:cs="Times New Roman"/>
          <w:sz w:val="24"/>
          <w:szCs w:val="24"/>
        </w:rPr>
        <w:t>56.63% in 2018 and then dropped to 24.77% in 2019</w:t>
      </w:r>
    </w:p>
    <w:p w:rsidR="00167080" w:rsidRPr="00A5229F" w:rsidRDefault="00167080" w:rsidP="00234669">
      <w:pPr>
        <w:rPr>
          <w:rFonts w:ascii="Times New Roman" w:hAnsi="Times New Roman" w:cs="Times New Roman"/>
          <w:sz w:val="24"/>
          <w:szCs w:val="24"/>
        </w:rPr>
      </w:pPr>
    </w:p>
    <w:p w:rsidR="00234669" w:rsidRPr="00A5229F" w:rsidRDefault="00234669" w:rsidP="00D67542">
      <w:pPr>
        <w:rPr>
          <w:rFonts w:ascii="Times New Roman" w:hAnsi="Times New Roman" w:cs="Times New Roman"/>
          <w:sz w:val="24"/>
          <w:szCs w:val="24"/>
        </w:rPr>
      </w:pPr>
    </w:p>
    <w:sectPr w:rsidR="00234669" w:rsidRPr="00A5229F" w:rsidSect="0020165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4796" w:rsidRDefault="006B4796" w:rsidP="00A5229F">
      <w:pPr>
        <w:spacing w:after="0" w:line="240" w:lineRule="auto"/>
      </w:pPr>
      <w:r>
        <w:separator/>
      </w:r>
    </w:p>
  </w:endnote>
  <w:endnote w:type="continuationSeparator" w:id="1">
    <w:p w:rsidR="006B4796" w:rsidRDefault="006B4796" w:rsidP="00A5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4796" w:rsidRDefault="006B4796" w:rsidP="00A5229F">
      <w:pPr>
        <w:spacing w:after="0" w:line="240" w:lineRule="auto"/>
      </w:pPr>
      <w:r>
        <w:separator/>
      </w:r>
    </w:p>
  </w:footnote>
  <w:footnote w:type="continuationSeparator" w:id="1">
    <w:p w:rsidR="006B4796" w:rsidRDefault="006B4796" w:rsidP="00A5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29F" w:rsidRPr="00E3239D" w:rsidRDefault="00A5229F" w:rsidP="00A5229F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HORIZONTA</w:t>
    </w:r>
    <w:r w:rsidRPr="00E3239D">
      <w:rPr>
        <w:rFonts w:ascii="Times New Roman" w:hAnsi="Times New Roman" w:cs="Times New Roman"/>
        <w:b/>
        <w:sz w:val="28"/>
        <w:szCs w:val="28"/>
      </w:rPr>
      <w:t>L ANALYSIS</w:t>
    </w:r>
  </w:p>
  <w:p w:rsidR="00A5229F" w:rsidRDefault="00A5229F" w:rsidP="00A5229F">
    <w:pPr>
      <w:jc w:val="center"/>
      <w:rPr>
        <w:rFonts w:ascii="Times New Roman" w:eastAsia="Times New Roman" w:hAnsi="Times New Roman" w:cs="Times New Roman"/>
        <w:i/>
        <w:iCs/>
        <w:color w:val="231F20"/>
        <w:sz w:val="20"/>
        <w:szCs w:val="20"/>
      </w:rPr>
    </w:pPr>
    <w:r w:rsidRPr="00E3239D">
      <w:rPr>
        <w:rFonts w:ascii="Times New Roman" w:eastAsia="Times New Roman" w:hAnsi="Times New Roman" w:cs="Times New Roman"/>
        <w:b/>
        <w:bCs/>
        <w:color w:val="231F20"/>
        <w:sz w:val="28"/>
        <w:szCs w:val="28"/>
      </w:rPr>
      <w:t>STARBUCKS CORPORATION CONSOLIDATED STATEMENTS OF EARNINGS</w:t>
    </w:r>
    <w:r w:rsidRPr="00E40892">
      <w:rPr>
        <w:rFonts w:ascii="Times New Roman" w:eastAsia="Times New Roman" w:hAnsi="Times New Roman" w:cs="Times New Roman"/>
        <w:b/>
        <w:bCs/>
        <w:color w:val="231F20"/>
        <w:sz w:val="20"/>
        <w:szCs w:val="20"/>
      </w:rPr>
      <w:t xml:space="preserve"> </w:t>
    </w:r>
    <w:r w:rsidRPr="00E40892">
      <w:rPr>
        <w:rFonts w:ascii="Times New Roman" w:eastAsia="Times New Roman" w:hAnsi="Times New Roman" w:cs="Times New Roman"/>
        <w:b/>
        <w:bCs/>
        <w:color w:val="231F20"/>
        <w:sz w:val="20"/>
        <w:szCs w:val="20"/>
      </w:rPr>
      <w:br/>
    </w:r>
    <w:r w:rsidRPr="00E40892">
      <w:rPr>
        <w:rFonts w:ascii="Times New Roman" w:eastAsia="Times New Roman" w:hAnsi="Times New Roman" w:cs="Times New Roman"/>
        <w:i/>
        <w:iCs/>
        <w:color w:val="231F20"/>
        <w:sz w:val="20"/>
        <w:szCs w:val="20"/>
      </w:rPr>
      <w:t>(in millions, except per share data)</w:t>
    </w:r>
  </w:p>
  <w:p w:rsidR="00A5229F" w:rsidRDefault="00A5229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56937"/>
    <w:multiLevelType w:val="hybridMultilevel"/>
    <w:tmpl w:val="0AEC5246"/>
    <w:lvl w:ilvl="0" w:tplc="0BD89956">
      <w:start w:val="298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727165"/>
    <w:multiLevelType w:val="hybridMultilevel"/>
    <w:tmpl w:val="DDB29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40892"/>
    <w:rsid w:val="000C5882"/>
    <w:rsid w:val="00167080"/>
    <w:rsid w:val="001B5469"/>
    <w:rsid w:val="00201652"/>
    <w:rsid w:val="00234669"/>
    <w:rsid w:val="00287CC0"/>
    <w:rsid w:val="004054CD"/>
    <w:rsid w:val="00584F03"/>
    <w:rsid w:val="005F4F82"/>
    <w:rsid w:val="006B4796"/>
    <w:rsid w:val="006E3F63"/>
    <w:rsid w:val="006E60D7"/>
    <w:rsid w:val="008075AF"/>
    <w:rsid w:val="00933AC8"/>
    <w:rsid w:val="009574B6"/>
    <w:rsid w:val="009E2411"/>
    <w:rsid w:val="009F5F01"/>
    <w:rsid w:val="00A5229F"/>
    <w:rsid w:val="00A83DD1"/>
    <w:rsid w:val="00AA71CF"/>
    <w:rsid w:val="00B7199B"/>
    <w:rsid w:val="00B809E7"/>
    <w:rsid w:val="00BC7608"/>
    <w:rsid w:val="00C25314"/>
    <w:rsid w:val="00D15AAA"/>
    <w:rsid w:val="00D26FE4"/>
    <w:rsid w:val="00D67542"/>
    <w:rsid w:val="00DF6288"/>
    <w:rsid w:val="00E3239D"/>
    <w:rsid w:val="00E40892"/>
    <w:rsid w:val="00EA690E"/>
    <w:rsid w:val="00EC2BB7"/>
    <w:rsid w:val="00FB2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75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809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52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229F"/>
  </w:style>
  <w:style w:type="paragraph" w:styleId="Footer">
    <w:name w:val="footer"/>
    <w:basedOn w:val="Normal"/>
    <w:link w:val="FooterChar"/>
    <w:uiPriority w:val="99"/>
    <w:semiHidden/>
    <w:unhideWhenUsed/>
    <w:rsid w:val="00A522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22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PRINCESS BEE</dc:creator>
  <cp:keywords/>
  <dc:description/>
  <cp:lastModifiedBy>PRINCESS BEE</cp:lastModifiedBy>
  <cp:revision>24</cp:revision>
  <dcterms:created xsi:type="dcterms:W3CDTF">2020-09-30T03:06:00Z</dcterms:created>
  <dcterms:modified xsi:type="dcterms:W3CDTF">2020-09-30T15:44:00Z</dcterms:modified>
</cp:coreProperties>
</file>